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C5B94" w:rsidRPr="003C5B94" w:rsidRDefault="003C5B94" w:rsidP="003C5B94">
      <w:pPr>
        <w:spacing w:line="480" w:lineRule="auto"/>
        <w:rPr>
          <w:rFonts w:ascii="Times New Roman" w:eastAsia="Times New Roman" w:hAnsi="Times New Roman" w:cs="Times New Roman"/>
          <w:sz w:val="24"/>
          <w:szCs w:val="24"/>
          <w:shd w:val="clear" w:color="auto" w:fill="FFFFFF"/>
        </w:rPr>
      </w:pPr>
    </w:p>
    <w:p w:rsidR="003C5B94" w:rsidRPr="003C5B94" w:rsidRDefault="003C5B94" w:rsidP="003C5B94">
      <w:pPr>
        <w:spacing w:line="480" w:lineRule="auto"/>
        <w:rPr>
          <w:rFonts w:ascii="Times New Roman" w:eastAsia="Times New Roman" w:hAnsi="Times New Roman" w:cs="Times New Roman"/>
          <w:sz w:val="24"/>
          <w:szCs w:val="24"/>
          <w:shd w:val="clear" w:color="auto" w:fill="FFFFFF"/>
        </w:rPr>
      </w:pPr>
    </w:p>
    <w:p w:rsidR="003C5B94" w:rsidRPr="003C5B94" w:rsidRDefault="003C5B94" w:rsidP="003C5B94">
      <w:pPr>
        <w:spacing w:line="480" w:lineRule="auto"/>
        <w:rPr>
          <w:rFonts w:ascii="Times New Roman" w:eastAsia="Times New Roman" w:hAnsi="Times New Roman" w:cs="Times New Roman"/>
          <w:sz w:val="24"/>
          <w:szCs w:val="24"/>
          <w:shd w:val="clear" w:color="auto" w:fill="FFFFFF"/>
        </w:rPr>
      </w:pPr>
    </w:p>
    <w:p w:rsidR="003C5B94" w:rsidRPr="003C5B94" w:rsidRDefault="003C5B94" w:rsidP="003C5B94">
      <w:pPr>
        <w:spacing w:line="480" w:lineRule="auto"/>
        <w:rPr>
          <w:rFonts w:ascii="Times New Roman" w:eastAsia="Times New Roman" w:hAnsi="Times New Roman" w:cs="Times New Roman"/>
          <w:sz w:val="24"/>
          <w:szCs w:val="24"/>
          <w:shd w:val="clear" w:color="auto" w:fill="FFFFFF"/>
        </w:rPr>
      </w:pPr>
    </w:p>
    <w:p w:rsidR="003C5B94" w:rsidRPr="003C5B94" w:rsidRDefault="003C5B94" w:rsidP="003C5B94">
      <w:pPr>
        <w:spacing w:line="480" w:lineRule="auto"/>
        <w:rPr>
          <w:rFonts w:ascii="Times New Roman" w:eastAsia="Times New Roman" w:hAnsi="Times New Roman" w:cs="Times New Roman"/>
          <w:sz w:val="24"/>
          <w:szCs w:val="24"/>
          <w:shd w:val="clear" w:color="auto" w:fill="FFFFFF"/>
        </w:rPr>
      </w:pPr>
    </w:p>
    <w:p w:rsidR="003C5B94" w:rsidRPr="003C5B94" w:rsidRDefault="003C5B94" w:rsidP="003C5B94">
      <w:pPr>
        <w:spacing w:line="480" w:lineRule="auto"/>
        <w:jc w:val="center"/>
        <w:rPr>
          <w:rFonts w:ascii="Times New Roman" w:hAnsi="Times New Roman" w:cs="Times New Roman"/>
          <w:sz w:val="24"/>
          <w:szCs w:val="24"/>
        </w:rPr>
      </w:pPr>
      <w:r w:rsidRPr="003C5B94">
        <w:rPr>
          <w:rFonts w:ascii="Times New Roman" w:hAnsi="Times New Roman" w:cs="Times New Roman"/>
          <w:sz w:val="24"/>
          <w:szCs w:val="24"/>
        </w:rPr>
        <w:t>Capitalization Rate</w:t>
      </w:r>
    </w:p>
    <w:p w:rsidR="003C5B94" w:rsidRPr="003C5B94" w:rsidRDefault="003C5B94" w:rsidP="003C5B94">
      <w:pPr>
        <w:spacing w:line="480" w:lineRule="auto"/>
        <w:jc w:val="center"/>
        <w:rPr>
          <w:rFonts w:ascii="Times New Roman" w:hAnsi="Times New Roman" w:cs="Times New Roman"/>
          <w:sz w:val="24"/>
          <w:szCs w:val="24"/>
        </w:rPr>
      </w:pPr>
      <w:r w:rsidRPr="003C5B94">
        <w:rPr>
          <w:rFonts w:ascii="Times New Roman" w:hAnsi="Times New Roman" w:cs="Times New Roman"/>
          <w:sz w:val="24"/>
          <w:szCs w:val="24"/>
        </w:rPr>
        <w:t>Name of Student</w:t>
      </w:r>
    </w:p>
    <w:p w:rsidR="003C5B94" w:rsidRPr="003C5B94" w:rsidRDefault="003C5B94" w:rsidP="003C5B94">
      <w:pPr>
        <w:spacing w:line="480" w:lineRule="auto"/>
        <w:jc w:val="center"/>
        <w:rPr>
          <w:rFonts w:ascii="Times New Roman" w:hAnsi="Times New Roman" w:cs="Times New Roman"/>
          <w:sz w:val="24"/>
          <w:szCs w:val="24"/>
        </w:rPr>
      </w:pPr>
      <w:r w:rsidRPr="003C5B94">
        <w:rPr>
          <w:rFonts w:ascii="Times New Roman" w:hAnsi="Times New Roman" w:cs="Times New Roman"/>
          <w:sz w:val="24"/>
          <w:szCs w:val="24"/>
        </w:rPr>
        <w:t>Name of Institution</w:t>
      </w:r>
    </w:p>
    <w:p w:rsidR="003C5B94" w:rsidRPr="003C5B94" w:rsidRDefault="003C5B94" w:rsidP="003C5B94">
      <w:pPr>
        <w:spacing w:line="480" w:lineRule="auto"/>
        <w:jc w:val="center"/>
        <w:rPr>
          <w:rFonts w:ascii="Times New Roman" w:eastAsia="Times New Roman" w:hAnsi="Times New Roman" w:cs="Times New Roman"/>
          <w:sz w:val="24"/>
          <w:szCs w:val="24"/>
          <w:shd w:val="clear" w:color="auto" w:fill="FFFFFF"/>
        </w:rPr>
      </w:pPr>
      <w:r w:rsidRPr="003C5B94">
        <w:rPr>
          <w:rFonts w:ascii="Times New Roman" w:hAnsi="Times New Roman" w:cs="Times New Roman"/>
          <w:sz w:val="24"/>
          <w:szCs w:val="24"/>
        </w:rPr>
        <w:t>Date</w:t>
      </w:r>
      <w:r w:rsidRPr="003C5B94">
        <w:rPr>
          <w:rFonts w:ascii="Times New Roman" w:eastAsia="Times New Roman" w:hAnsi="Times New Roman" w:cs="Times New Roman"/>
          <w:sz w:val="24"/>
          <w:szCs w:val="24"/>
          <w:shd w:val="clear" w:color="auto" w:fill="FFFFFF"/>
        </w:rPr>
        <w:t xml:space="preserve"> </w:t>
      </w:r>
      <w:r w:rsidRPr="003C5B94">
        <w:rPr>
          <w:rFonts w:ascii="Times New Roman" w:eastAsia="Times New Roman" w:hAnsi="Times New Roman" w:cs="Times New Roman"/>
          <w:sz w:val="24"/>
          <w:szCs w:val="24"/>
          <w:shd w:val="clear" w:color="auto" w:fill="FFFFFF"/>
        </w:rPr>
        <w:br w:type="page"/>
      </w:r>
    </w:p>
    <w:p w:rsidR="00E950C9" w:rsidRPr="003C5B94" w:rsidRDefault="00B80E8C" w:rsidP="003C5B94">
      <w:pPr>
        <w:spacing w:after="0" w:line="480" w:lineRule="auto"/>
        <w:ind w:firstLine="720"/>
        <w:rPr>
          <w:rFonts w:ascii="Times New Roman" w:eastAsia="Times New Roman" w:hAnsi="Times New Roman" w:cs="Times New Roman"/>
          <w:sz w:val="24"/>
          <w:szCs w:val="24"/>
          <w:shd w:val="clear" w:color="auto" w:fill="FFFFFF"/>
        </w:rPr>
      </w:pPr>
      <w:r w:rsidRPr="003C5B94">
        <w:rPr>
          <w:rFonts w:ascii="Times New Roman" w:eastAsia="Times New Roman" w:hAnsi="Times New Roman" w:cs="Times New Roman"/>
          <w:sz w:val="24"/>
          <w:szCs w:val="24"/>
          <w:shd w:val="clear" w:color="auto" w:fill="FFFFFF"/>
        </w:rPr>
        <w:lastRenderedPageBreak/>
        <w:t xml:space="preserve">The companies chosen for this assignment are FedEx and Sherwin-Williams. Sherwin-Williams have a Moody credit rating of Baa3 and a S&amp;P rating of BBB whereas FedEx has the same S&amp;P credit rating but Baa2 on the Moody’s credit score. The scores put both companies on the lower medium investment grade with FedEx more favorable for long term credit. The lease term for FedEx is an </w:t>
      </w:r>
      <w:r w:rsidR="006362D8" w:rsidRPr="003C5B94">
        <w:rPr>
          <w:rFonts w:ascii="Times New Roman" w:eastAsia="Times New Roman" w:hAnsi="Times New Roman" w:cs="Times New Roman"/>
          <w:sz w:val="24"/>
          <w:szCs w:val="24"/>
          <w:shd w:val="clear" w:color="auto" w:fill="FFFFFF"/>
        </w:rPr>
        <w:t xml:space="preserve">average of between 5-10 years which indicates the company has a standing agreement that assures staying in the property for five years with the option of extension for up to ten years. Sherwin-Williams lease term is ten years. The latter has a more assured stay period as compared to the latter. </w:t>
      </w:r>
    </w:p>
    <w:p w:rsidR="00334273" w:rsidRPr="003C5B94" w:rsidRDefault="006362D8" w:rsidP="003C5B94">
      <w:pPr>
        <w:spacing w:after="0" w:line="480" w:lineRule="auto"/>
        <w:ind w:firstLine="720"/>
        <w:rPr>
          <w:rFonts w:ascii="Times New Roman" w:eastAsia="Times New Roman" w:hAnsi="Times New Roman" w:cs="Times New Roman"/>
          <w:sz w:val="24"/>
          <w:szCs w:val="24"/>
          <w:shd w:val="clear" w:color="auto" w:fill="FFFFFF"/>
        </w:rPr>
      </w:pPr>
      <w:r w:rsidRPr="003C5B94">
        <w:rPr>
          <w:rFonts w:ascii="Times New Roman" w:eastAsia="Times New Roman" w:hAnsi="Times New Roman" w:cs="Times New Roman"/>
          <w:sz w:val="24"/>
          <w:szCs w:val="24"/>
          <w:shd w:val="clear" w:color="auto" w:fill="FFFFFF"/>
        </w:rPr>
        <w:t xml:space="preserve">When considering these two properties, with the respective companies as tenants, their respective </w:t>
      </w:r>
      <w:r w:rsidR="00E950C9" w:rsidRPr="003C5B94">
        <w:rPr>
          <w:rFonts w:ascii="Times New Roman" w:eastAsia="Times New Roman" w:hAnsi="Times New Roman" w:cs="Times New Roman"/>
          <w:sz w:val="24"/>
          <w:szCs w:val="24"/>
          <w:shd w:val="clear" w:color="auto" w:fill="FFFFFF"/>
        </w:rPr>
        <w:t>lease term</w:t>
      </w:r>
      <w:r w:rsidRPr="003C5B94">
        <w:rPr>
          <w:rFonts w:ascii="Times New Roman" w:eastAsia="Times New Roman" w:hAnsi="Times New Roman" w:cs="Times New Roman"/>
          <w:sz w:val="24"/>
          <w:szCs w:val="24"/>
          <w:shd w:val="clear" w:color="auto" w:fill="FFFFFF"/>
        </w:rPr>
        <w:t xml:space="preserve"> is more influential in the calculation of the capitalization rate that both properties would sell for. </w:t>
      </w:r>
      <w:r w:rsidR="00E950C9" w:rsidRPr="003C5B94">
        <w:rPr>
          <w:rFonts w:ascii="Times New Roman" w:eastAsia="Times New Roman" w:hAnsi="Times New Roman" w:cs="Times New Roman"/>
          <w:sz w:val="24"/>
          <w:szCs w:val="24"/>
          <w:shd w:val="clear" w:color="auto" w:fill="FFFFFF"/>
        </w:rPr>
        <w:t xml:space="preserve">Both retail stores have almost similar score and an investor would likely consider the length of stay of the tenant in their evaluation of the property. In the scenario of assigning percentages of their impact on the capitalization rate, the lease term would hold at 33% while credit rating would be 29% with the rest influenced by the Real Estate. </w:t>
      </w:r>
    </w:p>
    <w:p w:rsidR="00E950C9" w:rsidRPr="003C5B94" w:rsidRDefault="00E950C9" w:rsidP="003C5B94">
      <w:pPr>
        <w:spacing w:after="0" w:line="480" w:lineRule="auto"/>
        <w:ind w:firstLine="720"/>
        <w:rPr>
          <w:rFonts w:ascii="Times New Roman" w:eastAsia="Times New Roman" w:hAnsi="Times New Roman" w:cs="Times New Roman"/>
          <w:sz w:val="24"/>
          <w:szCs w:val="24"/>
        </w:rPr>
      </w:pPr>
      <w:r w:rsidRPr="003C5B94">
        <w:rPr>
          <w:rFonts w:ascii="Times New Roman" w:eastAsia="Times New Roman" w:hAnsi="Times New Roman" w:cs="Times New Roman"/>
          <w:sz w:val="24"/>
          <w:szCs w:val="24"/>
        </w:rPr>
        <w:t xml:space="preserve">As a developer, I would seek out the property whose tenant is Sherwin-Williams. The </w:t>
      </w:r>
      <w:r w:rsidR="003C5B94" w:rsidRPr="003C5B94">
        <w:rPr>
          <w:rFonts w:ascii="Times New Roman" w:eastAsia="Times New Roman" w:hAnsi="Times New Roman" w:cs="Times New Roman"/>
          <w:sz w:val="24"/>
          <w:szCs w:val="24"/>
        </w:rPr>
        <w:t xml:space="preserve">tenant in this property has a longer lease period which provides more assured long term investment duration. Moreover, the credit rating system of both companies is at par and thus not effective in differentiating the two. Sherwin-Williams also has better consolidated net sales and Forex trading values and hence, even with slightly less significant credit rating, the company is worth more than FedEx which is critical in cse of defaulting in payments. </w:t>
      </w:r>
    </w:p>
    <w:p w:rsidR="003C5B94" w:rsidRPr="003C5B94" w:rsidRDefault="003C5B94" w:rsidP="003C5B94">
      <w:pPr>
        <w:spacing w:line="480" w:lineRule="auto"/>
        <w:rPr>
          <w:rFonts w:ascii="Times New Roman" w:eastAsia="Times New Roman" w:hAnsi="Times New Roman" w:cs="Times New Roman"/>
          <w:sz w:val="24"/>
          <w:szCs w:val="24"/>
        </w:rPr>
      </w:pPr>
      <w:r w:rsidRPr="003C5B94">
        <w:rPr>
          <w:rFonts w:ascii="Times New Roman" w:eastAsia="Times New Roman" w:hAnsi="Times New Roman" w:cs="Times New Roman"/>
          <w:sz w:val="24"/>
          <w:szCs w:val="24"/>
        </w:rPr>
        <w:br w:type="page"/>
      </w:r>
    </w:p>
    <w:sdt>
      <w:sdtPr>
        <w:rPr>
          <w:rFonts w:ascii="Times New Roman" w:hAnsi="Times New Roman" w:cs="Times New Roman"/>
          <w:color w:val="auto"/>
          <w:sz w:val="24"/>
          <w:szCs w:val="24"/>
        </w:rPr>
        <w:id w:val="98356800"/>
        <w:docPartObj>
          <w:docPartGallery w:val="Bibliographies"/>
          <w:docPartUnique/>
        </w:docPartObj>
      </w:sdtPr>
      <w:sdtEndPr>
        <w:rPr>
          <w:rFonts w:eastAsiaTheme="minorEastAsia"/>
          <w:b w:val="0"/>
          <w:bCs w:val="0"/>
          <w:lang w:bidi="ar-SA"/>
        </w:rPr>
      </w:sdtEndPr>
      <w:sdtContent>
        <w:p w:rsidR="003C5B94" w:rsidRPr="003C5B94" w:rsidRDefault="003C5B94" w:rsidP="003C5B94">
          <w:pPr>
            <w:pStyle w:val="Heading1"/>
            <w:spacing w:line="480" w:lineRule="auto"/>
            <w:jc w:val="center"/>
            <w:rPr>
              <w:rFonts w:ascii="Times New Roman" w:hAnsi="Times New Roman" w:cs="Times New Roman"/>
              <w:color w:val="auto"/>
              <w:sz w:val="24"/>
              <w:szCs w:val="24"/>
            </w:rPr>
          </w:pPr>
          <w:r w:rsidRPr="003C5B94">
            <w:rPr>
              <w:rFonts w:ascii="Times New Roman" w:hAnsi="Times New Roman" w:cs="Times New Roman"/>
              <w:color w:val="auto"/>
              <w:sz w:val="24"/>
              <w:szCs w:val="24"/>
            </w:rPr>
            <w:t>References</w:t>
          </w:r>
        </w:p>
        <w:sdt>
          <w:sdtPr>
            <w:rPr>
              <w:rFonts w:ascii="Times New Roman" w:hAnsi="Times New Roman" w:cs="Times New Roman"/>
              <w:sz w:val="24"/>
              <w:szCs w:val="24"/>
            </w:rPr>
            <w:id w:val="111145805"/>
            <w:bibliography/>
          </w:sdtPr>
          <w:sdtContent>
            <w:p w:rsidR="003C5B94" w:rsidRPr="003C5B94" w:rsidRDefault="003C5B94" w:rsidP="003C5B94">
              <w:pPr>
                <w:pStyle w:val="Bibliography"/>
                <w:spacing w:line="480" w:lineRule="auto"/>
                <w:ind w:left="720" w:hanging="720"/>
                <w:rPr>
                  <w:rFonts w:ascii="Times New Roman" w:hAnsi="Times New Roman" w:cs="Times New Roman"/>
                  <w:noProof/>
                  <w:sz w:val="24"/>
                  <w:szCs w:val="24"/>
                </w:rPr>
              </w:pPr>
              <w:r w:rsidRPr="003C5B94">
                <w:rPr>
                  <w:rFonts w:ascii="Times New Roman" w:hAnsi="Times New Roman" w:cs="Times New Roman"/>
                  <w:sz w:val="24"/>
                  <w:szCs w:val="24"/>
                </w:rPr>
                <w:fldChar w:fldCharType="begin"/>
              </w:r>
              <w:r w:rsidRPr="003C5B94">
                <w:rPr>
                  <w:rFonts w:ascii="Times New Roman" w:hAnsi="Times New Roman" w:cs="Times New Roman"/>
                  <w:sz w:val="24"/>
                  <w:szCs w:val="24"/>
                </w:rPr>
                <w:instrText xml:space="preserve"> BIBLIOGRAPHY </w:instrText>
              </w:r>
              <w:r w:rsidRPr="003C5B94">
                <w:rPr>
                  <w:rFonts w:ascii="Times New Roman" w:hAnsi="Times New Roman" w:cs="Times New Roman"/>
                  <w:sz w:val="24"/>
                  <w:szCs w:val="24"/>
                </w:rPr>
                <w:fldChar w:fldCharType="separate"/>
              </w:r>
              <w:r w:rsidRPr="003C5B94">
                <w:rPr>
                  <w:rFonts w:ascii="Times New Roman" w:hAnsi="Times New Roman" w:cs="Times New Roman"/>
                  <w:noProof/>
                  <w:sz w:val="24"/>
                  <w:szCs w:val="24"/>
                </w:rPr>
                <w:t xml:space="preserve">NET LEASE Advisor. (n.d.). </w:t>
              </w:r>
              <w:r w:rsidRPr="003C5B94">
                <w:rPr>
                  <w:rFonts w:ascii="Times New Roman" w:hAnsi="Times New Roman" w:cs="Times New Roman"/>
                  <w:i/>
                  <w:iCs/>
                  <w:noProof/>
                  <w:sz w:val="24"/>
                  <w:szCs w:val="24"/>
                </w:rPr>
                <w:t>FedEx Tenant Overview</w:t>
              </w:r>
              <w:r w:rsidRPr="003C5B94">
                <w:rPr>
                  <w:rFonts w:ascii="Times New Roman" w:hAnsi="Times New Roman" w:cs="Times New Roman"/>
                  <w:noProof/>
                  <w:sz w:val="24"/>
                  <w:szCs w:val="24"/>
                </w:rPr>
                <w:t>. Retrieved June 9, 2019, from NET LEASE Advisor: https://www.netleaseadvisor.com/tenant/fedex/</w:t>
              </w:r>
            </w:p>
            <w:p w:rsidR="003C5B94" w:rsidRPr="003C5B94" w:rsidRDefault="003C5B94" w:rsidP="003C5B94">
              <w:pPr>
                <w:pStyle w:val="Bibliography"/>
                <w:spacing w:line="480" w:lineRule="auto"/>
                <w:ind w:left="720" w:hanging="720"/>
                <w:rPr>
                  <w:rFonts w:ascii="Times New Roman" w:hAnsi="Times New Roman" w:cs="Times New Roman"/>
                  <w:noProof/>
                  <w:sz w:val="24"/>
                  <w:szCs w:val="24"/>
                </w:rPr>
              </w:pPr>
              <w:r w:rsidRPr="003C5B94">
                <w:rPr>
                  <w:rFonts w:ascii="Times New Roman" w:hAnsi="Times New Roman" w:cs="Times New Roman"/>
                  <w:noProof/>
                  <w:sz w:val="24"/>
                  <w:szCs w:val="24"/>
                </w:rPr>
                <w:t xml:space="preserve">NET LEASE Advisor. (n.d.). </w:t>
              </w:r>
              <w:r w:rsidRPr="003C5B94">
                <w:rPr>
                  <w:rFonts w:ascii="Times New Roman" w:hAnsi="Times New Roman" w:cs="Times New Roman"/>
                  <w:i/>
                  <w:iCs/>
                  <w:noProof/>
                  <w:sz w:val="24"/>
                  <w:szCs w:val="24"/>
                </w:rPr>
                <w:t>Sherwin-Williams Tenant Overview</w:t>
              </w:r>
              <w:r w:rsidRPr="003C5B94">
                <w:rPr>
                  <w:rFonts w:ascii="Times New Roman" w:hAnsi="Times New Roman" w:cs="Times New Roman"/>
                  <w:noProof/>
                  <w:sz w:val="24"/>
                  <w:szCs w:val="24"/>
                </w:rPr>
                <w:t>. Retrieved June 9, 2019, from NET LEASE Advisor: https://www.netleaseadvisor.com/tenant/sherwin-williams/</w:t>
              </w:r>
            </w:p>
            <w:p w:rsidR="003C5B94" w:rsidRPr="003C5B94" w:rsidRDefault="003C5B94" w:rsidP="003C5B94">
              <w:pPr>
                <w:spacing w:line="480" w:lineRule="auto"/>
                <w:ind w:left="720" w:hanging="720"/>
                <w:rPr>
                  <w:rFonts w:ascii="Times New Roman" w:hAnsi="Times New Roman" w:cs="Times New Roman"/>
                  <w:sz w:val="24"/>
                  <w:szCs w:val="24"/>
                </w:rPr>
              </w:pPr>
              <w:r w:rsidRPr="003C5B94">
                <w:rPr>
                  <w:rFonts w:ascii="Times New Roman" w:hAnsi="Times New Roman" w:cs="Times New Roman"/>
                  <w:sz w:val="24"/>
                  <w:szCs w:val="24"/>
                </w:rPr>
                <w:fldChar w:fldCharType="end"/>
              </w:r>
            </w:p>
          </w:sdtContent>
        </w:sdt>
      </w:sdtContent>
    </w:sdt>
    <w:p w:rsidR="003C5B94" w:rsidRPr="003C5B94" w:rsidRDefault="003C5B94" w:rsidP="003C5B94">
      <w:pPr>
        <w:spacing w:after="0" w:line="480" w:lineRule="auto"/>
        <w:ind w:firstLine="720"/>
        <w:rPr>
          <w:rFonts w:ascii="Times New Roman" w:eastAsia="Times New Roman" w:hAnsi="Times New Roman" w:cs="Times New Roman"/>
          <w:sz w:val="24"/>
          <w:szCs w:val="24"/>
        </w:rPr>
      </w:pPr>
    </w:p>
    <w:sectPr w:rsidR="003C5B94" w:rsidRPr="003C5B94" w:rsidSect="003C5B94">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A7D43" w:rsidRDefault="001A7D43" w:rsidP="003C5B94">
      <w:pPr>
        <w:spacing w:after="0" w:line="240" w:lineRule="auto"/>
      </w:pPr>
      <w:r>
        <w:separator/>
      </w:r>
    </w:p>
  </w:endnote>
  <w:endnote w:type="continuationSeparator" w:id="1">
    <w:p w:rsidR="001A7D43" w:rsidRDefault="001A7D43" w:rsidP="003C5B9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A7D43" w:rsidRDefault="001A7D43" w:rsidP="003C5B94">
      <w:pPr>
        <w:spacing w:after="0" w:line="240" w:lineRule="auto"/>
      </w:pPr>
      <w:r>
        <w:separator/>
      </w:r>
    </w:p>
  </w:footnote>
  <w:footnote w:type="continuationSeparator" w:id="1">
    <w:p w:rsidR="001A7D43" w:rsidRDefault="001A7D43" w:rsidP="003C5B9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5B94" w:rsidRPr="003C5B94" w:rsidRDefault="003C5B94">
    <w:pPr>
      <w:pStyle w:val="Header"/>
      <w:jc w:val="right"/>
      <w:rPr>
        <w:rFonts w:ascii="Times New Roman" w:hAnsi="Times New Roman" w:cs="Times New Roman"/>
        <w:sz w:val="24"/>
      </w:rPr>
    </w:pPr>
    <w:r w:rsidRPr="003C5B94">
      <w:rPr>
        <w:rFonts w:ascii="Times New Roman" w:hAnsi="Times New Roman" w:cs="Times New Roman"/>
        <w:sz w:val="24"/>
      </w:rPr>
      <w:t xml:space="preserve">CAPITALIZATION RATE </w:t>
    </w:r>
    <w:r w:rsidRPr="003C5B94">
      <w:rPr>
        <w:rFonts w:ascii="Times New Roman" w:hAnsi="Times New Roman" w:cs="Times New Roman"/>
        <w:sz w:val="24"/>
      </w:rPr>
      <w:tab/>
    </w:r>
    <w:r w:rsidRPr="003C5B94">
      <w:rPr>
        <w:rFonts w:ascii="Times New Roman" w:hAnsi="Times New Roman" w:cs="Times New Roman"/>
        <w:sz w:val="24"/>
      </w:rPr>
      <w:tab/>
    </w:r>
    <w:sdt>
      <w:sdtPr>
        <w:rPr>
          <w:rFonts w:ascii="Times New Roman" w:hAnsi="Times New Roman" w:cs="Times New Roman"/>
          <w:sz w:val="24"/>
        </w:rPr>
        <w:id w:val="98356803"/>
        <w:docPartObj>
          <w:docPartGallery w:val="Page Numbers (Top of Page)"/>
          <w:docPartUnique/>
        </w:docPartObj>
      </w:sdtPr>
      <w:sdtContent>
        <w:r w:rsidRPr="003C5B94">
          <w:rPr>
            <w:rFonts w:ascii="Times New Roman" w:hAnsi="Times New Roman" w:cs="Times New Roman"/>
            <w:sz w:val="24"/>
          </w:rPr>
          <w:fldChar w:fldCharType="begin"/>
        </w:r>
        <w:r w:rsidRPr="003C5B94">
          <w:rPr>
            <w:rFonts w:ascii="Times New Roman" w:hAnsi="Times New Roman" w:cs="Times New Roman"/>
            <w:sz w:val="24"/>
          </w:rPr>
          <w:instrText xml:space="preserve"> PAGE   \* MERGEFORMAT </w:instrText>
        </w:r>
        <w:r w:rsidRPr="003C5B94">
          <w:rPr>
            <w:rFonts w:ascii="Times New Roman" w:hAnsi="Times New Roman" w:cs="Times New Roman"/>
            <w:sz w:val="24"/>
          </w:rPr>
          <w:fldChar w:fldCharType="separate"/>
        </w:r>
        <w:r>
          <w:rPr>
            <w:rFonts w:ascii="Times New Roman" w:hAnsi="Times New Roman" w:cs="Times New Roman"/>
            <w:noProof/>
            <w:sz w:val="24"/>
          </w:rPr>
          <w:t>3</w:t>
        </w:r>
        <w:r w:rsidRPr="003C5B94">
          <w:rPr>
            <w:rFonts w:ascii="Times New Roman" w:hAnsi="Times New Roman" w:cs="Times New Roman"/>
            <w:sz w:val="24"/>
          </w:rPr>
          <w:fldChar w:fldCharType="end"/>
        </w:r>
      </w:sdtContent>
    </w:sdt>
  </w:p>
  <w:p w:rsidR="003C5B94" w:rsidRPr="003C5B94" w:rsidRDefault="003C5B94">
    <w:pPr>
      <w:pStyle w:val="Header"/>
      <w:rPr>
        <w:rFonts w:ascii="Times New Roman" w:hAnsi="Times New Roman" w:cs="Times New Roman"/>
        <w:sz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5B94" w:rsidRPr="003C5B94" w:rsidRDefault="003C5B94">
    <w:pPr>
      <w:pStyle w:val="Header"/>
      <w:jc w:val="right"/>
      <w:rPr>
        <w:rFonts w:ascii="Times New Roman" w:hAnsi="Times New Roman" w:cs="Times New Roman"/>
        <w:sz w:val="24"/>
      </w:rPr>
    </w:pPr>
    <w:r w:rsidRPr="003C5B94">
      <w:rPr>
        <w:rFonts w:ascii="Times New Roman" w:hAnsi="Times New Roman" w:cs="Times New Roman"/>
        <w:sz w:val="24"/>
      </w:rPr>
      <w:t xml:space="preserve">Running Head: CAPITALIZATION RATE </w:t>
    </w:r>
    <w:r w:rsidRPr="003C5B94">
      <w:rPr>
        <w:rFonts w:ascii="Times New Roman" w:hAnsi="Times New Roman" w:cs="Times New Roman"/>
        <w:sz w:val="24"/>
      </w:rPr>
      <w:tab/>
    </w:r>
    <w:r w:rsidRPr="003C5B94">
      <w:rPr>
        <w:rFonts w:ascii="Times New Roman" w:hAnsi="Times New Roman" w:cs="Times New Roman"/>
        <w:sz w:val="24"/>
      </w:rPr>
      <w:tab/>
    </w:r>
    <w:sdt>
      <w:sdtPr>
        <w:rPr>
          <w:rFonts w:ascii="Times New Roman" w:hAnsi="Times New Roman" w:cs="Times New Roman"/>
          <w:sz w:val="24"/>
        </w:rPr>
        <w:id w:val="98356807"/>
        <w:docPartObj>
          <w:docPartGallery w:val="Page Numbers (Top of Page)"/>
          <w:docPartUnique/>
        </w:docPartObj>
      </w:sdtPr>
      <w:sdtContent>
        <w:r w:rsidRPr="003C5B94">
          <w:rPr>
            <w:rFonts w:ascii="Times New Roman" w:hAnsi="Times New Roman" w:cs="Times New Roman"/>
            <w:sz w:val="24"/>
          </w:rPr>
          <w:fldChar w:fldCharType="begin"/>
        </w:r>
        <w:r w:rsidRPr="003C5B94">
          <w:rPr>
            <w:rFonts w:ascii="Times New Roman" w:hAnsi="Times New Roman" w:cs="Times New Roman"/>
            <w:sz w:val="24"/>
          </w:rPr>
          <w:instrText xml:space="preserve"> PAGE   \* MERGEFORMAT </w:instrText>
        </w:r>
        <w:r w:rsidRPr="003C5B94">
          <w:rPr>
            <w:rFonts w:ascii="Times New Roman" w:hAnsi="Times New Roman" w:cs="Times New Roman"/>
            <w:sz w:val="24"/>
          </w:rPr>
          <w:fldChar w:fldCharType="separate"/>
        </w:r>
        <w:r>
          <w:rPr>
            <w:rFonts w:ascii="Times New Roman" w:hAnsi="Times New Roman" w:cs="Times New Roman"/>
            <w:noProof/>
            <w:sz w:val="24"/>
          </w:rPr>
          <w:t>1</w:t>
        </w:r>
        <w:r w:rsidRPr="003C5B94">
          <w:rPr>
            <w:rFonts w:ascii="Times New Roman" w:hAnsi="Times New Roman" w:cs="Times New Roman"/>
            <w:sz w:val="24"/>
          </w:rPr>
          <w:fldChar w:fldCharType="end"/>
        </w:r>
      </w:sdtContent>
    </w:sdt>
  </w:p>
  <w:p w:rsidR="003C5B94" w:rsidRPr="003C5B94" w:rsidRDefault="003C5B94">
    <w:pPr>
      <w:pStyle w:val="Header"/>
      <w:rPr>
        <w:rFonts w:ascii="Times New Roman" w:hAnsi="Times New Roman" w:cs="Times New Roman"/>
        <w:sz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C2E10CD"/>
    <w:multiLevelType w:val="hybridMultilevel"/>
    <w:tmpl w:val="895051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useFELayout/>
  </w:compat>
  <w:rsids>
    <w:rsidRoot w:val="00334273"/>
    <w:rsid w:val="001A7D43"/>
    <w:rsid w:val="00334273"/>
    <w:rsid w:val="003C5B94"/>
    <w:rsid w:val="006362D8"/>
    <w:rsid w:val="00B80E8C"/>
    <w:rsid w:val="00E950C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3C5B94"/>
    <w:pPr>
      <w:keepNext/>
      <w:keepLines/>
      <w:spacing w:before="480" w:after="0"/>
      <w:outlineLvl w:val="0"/>
    </w:pPr>
    <w:rPr>
      <w:rFonts w:asciiTheme="majorHAnsi" w:eastAsiaTheme="majorEastAsia" w:hAnsiTheme="majorHAnsi" w:cstheme="majorBidi"/>
      <w:b/>
      <w:bCs/>
      <w:color w:val="365F91" w:themeColor="accent1" w:themeShade="BF"/>
      <w:sz w:val="28"/>
      <w:szCs w:val="28"/>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34273"/>
    <w:pPr>
      <w:ind w:left="720"/>
      <w:contextualSpacing/>
    </w:pPr>
  </w:style>
  <w:style w:type="paragraph" w:styleId="BalloonText">
    <w:name w:val="Balloon Text"/>
    <w:basedOn w:val="Normal"/>
    <w:link w:val="BalloonTextChar"/>
    <w:uiPriority w:val="99"/>
    <w:semiHidden/>
    <w:unhideWhenUsed/>
    <w:rsid w:val="003C5B9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C5B94"/>
    <w:rPr>
      <w:rFonts w:ascii="Tahoma" w:hAnsi="Tahoma" w:cs="Tahoma"/>
      <w:sz w:val="16"/>
      <w:szCs w:val="16"/>
    </w:rPr>
  </w:style>
  <w:style w:type="character" w:customStyle="1" w:styleId="Heading1Char">
    <w:name w:val="Heading 1 Char"/>
    <w:basedOn w:val="DefaultParagraphFont"/>
    <w:link w:val="Heading1"/>
    <w:uiPriority w:val="9"/>
    <w:rsid w:val="003C5B94"/>
    <w:rPr>
      <w:rFonts w:asciiTheme="majorHAnsi" w:eastAsiaTheme="majorEastAsia" w:hAnsiTheme="majorHAnsi" w:cstheme="majorBidi"/>
      <w:b/>
      <w:bCs/>
      <w:color w:val="365F91" w:themeColor="accent1" w:themeShade="BF"/>
      <w:sz w:val="28"/>
      <w:szCs w:val="28"/>
      <w:lang w:bidi="en-US"/>
    </w:rPr>
  </w:style>
  <w:style w:type="paragraph" w:styleId="Bibliography">
    <w:name w:val="Bibliography"/>
    <w:basedOn w:val="Normal"/>
    <w:next w:val="Normal"/>
    <w:uiPriority w:val="37"/>
    <w:unhideWhenUsed/>
    <w:rsid w:val="003C5B94"/>
  </w:style>
  <w:style w:type="paragraph" w:styleId="Header">
    <w:name w:val="header"/>
    <w:basedOn w:val="Normal"/>
    <w:link w:val="HeaderChar"/>
    <w:uiPriority w:val="99"/>
    <w:unhideWhenUsed/>
    <w:rsid w:val="003C5B94"/>
    <w:pPr>
      <w:tabs>
        <w:tab w:val="center" w:pos="4680"/>
        <w:tab w:val="right" w:pos="9360"/>
      </w:tabs>
      <w:spacing w:after="0" w:line="240" w:lineRule="auto"/>
    </w:pPr>
  </w:style>
  <w:style w:type="character" w:customStyle="1" w:styleId="HeaderChar">
    <w:name w:val="Header Char"/>
    <w:basedOn w:val="DefaultParagraphFont"/>
    <w:link w:val="Header"/>
    <w:uiPriority w:val="99"/>
    <w:rsid w:val="003C5B94"/>
  </w:style>
  <w:style w:type="paragraph" w:styleId="Footer">
    <w:name w:val="footer"/>
    <w:basedOn w:val="Normal"/>
    <w:link w:val="FooterChar"/>
    <w:uiPriority w:val="99"/>
    <w:semiHidden/>
    <w:unhideWhenUsed/>
    <w:rsid w:val="003C5B94"/>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3C5B94"/>
  </w:style>
</w:styles>
</file>

<file path=word/webSettings.xml><?xml version="1.0" encoding="utf-8"?>
<w:webSettings xmlns:r="http://schemas.openxmlformats.org/officeDocument/2006/relationships" xmlns:w="http://schemas.openxmlformats.org/wordprocessingml/2006/main">
  <w:divs>
    <w:div w:id="1105268741">
      <w:bodyDiv w:val="1"/>
      <w:marLeft w:val="0"/>
      <w:marRight w:val="0"/>
      <w:marTop w:val="0"/>
      <w:marBottom w:val="0"/>
      <w:divBdr>
        <w:top w:val="none" w:sz="0" w:space="0" w:color="auto"/>
        <w:left w:val="none" w:sz="0" w:space="0" w:color="auto"/>
        <w:bottom w:val="none" w:sz="0" w:space="0" w:color="auto"/>
        <w:right w:val="none" w:sz="0" w:space="0" w:color="auto"/>
      </w:divBdr>
      <w:divsChild>
        <w:div w:id="44427090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NET191</b:Tag>
    <b:SourceType>InternetSite</b:SourceType>
    <b:Guid>{BC572CF6-FAFF-4647-A1C2-2E36E45A1FE2}</b:Guid>
    <b:LCID>0</b:LCID>
    <b:Author>
      <b:Author>
        <b:Corporate>NET LEASE Advisor</b:Corporate>
      </b:Author>
    </b:Author>
    <b:Title>FedEx Tenant Overview</b:Title>
    <b:InternetSiteTitle>NET LEASE Advisor</b:InternetSiteTitle>
    <b:YearAccessed>2019</b:YearAccessed>
    <b:MonthAccessed>June</b:MonthAccessed>
    <b:DayAccessed>9</b:DayAccessed>
    <b:URL>https://www.netleaseadvisor.com/tenant/fedex/</b:URL>
    <b:RefOrder>1</b:RefOrder>
  </b:Source>
  <b:Source>
    <b:Tag>NET19</b:Tag>
    <b:SourceType>InternetSite</b:SourceType>
    <b:Guid>{C791C5CC-3E13-49A5-93FF-91EACAE91E04}</b:Guid>
    <b:LCID>0</b:LCID>
    <b:Author>
      <b:Author>
        <b:Corporate>NET LEASE Advisor</b:Corporate>
      </b:Author>
    </b:Author>
    <b:Title>Sherwin-Williams Tenant Overview</b:Title>
    <b:InternetSiteTitle>NET LEASE Advisor</b:InternetSiteTitle>
    <b:YearAccessed>2019</b:YearAccessed>
    <b:MonthAccessed>June</b:MonthAccessed>
    <b:DayAccessed>9</b:DayAccessed>
    <b:URL>https://www.netleaseadvisor.com/tenant/sherwin-williams/</b:URL>
    <b:RefOrder>2</b:RefOrder>
  </b:Source>
</b:Sources>
</file>

<file path=customXml/itemProps1.xml><?xml version="1.0" encoding="utf-8"?>
<ds:datastoreItem xmlns:ds="http://schemas.openxmlformats.org/officeDocument/2006/customXml" ds:itemID="{7D0F6C5C-7923-4EED-BA74-5AF385D00A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87</TotalTime>
  <Pages>1</Pages>
  <Words>327</Words>
  <Characters>1864</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3</cp:revision>
  <dcterms:created xsi:type="dcterms:W3CDTF">2019-06-09T11:55:00Z</dcterms:created>
  <dcterms:modified xsi:type="dcterms:W3CDTF">2019-06-09T13:22:00Z</dcterms:modified>
</cp:coreProperties>
</file>